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星旅远洋邮轮【鼓浪屿号】上海-长崎-鹿儿岛-上海   5晚6天行程单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上海-长崎-鹿儿岛-上海   5晚6天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YL17228207132t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★【关于鼓浪屿号】
                <w:br/>
                总吨数约为7万吨，最大航速24节;共有13层甲板，941间客房，可载客1880人;鼓浪屿号设有剧院、餐厅、酒吧、健身房、泳池、篮球场、网球场、免税店等餐饮娱乐设施，将全方位地为游客开启海上度假生活。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鼓浪屿”号邮轮是星旅远洋国际邮轮有限公司旗下首艘邮轮。其实从名字里也不难猜出，“星旅“&amp;amp;”远洋“已经浓浓的呈现其血统--中国旅游集团&amp;amp;中国远洋海运集团。没错，星旅远洋就是这两家央企共同出资设立，总部设在香港，在厦门设有国内运营总部。依托股东雄厚的实力和行业优势，星旅远洋致力于本土邮轮品牌打造，除计划于2019年金秋时节投入中国母港运营的“鼓浪屿”号，星旅邮轮还将不断扩大船队规模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日本--长崎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长崎是日本西部重要的港湾城市，积淀并融合了来自中国和欧洲的多元文化。这里主要的旅游景点包括原爆资料馆、长崎中华街、大浦天主教堂、长崎企鹅水族馆、滨町商业街等。
                <w:br/>
                具体停靠时间以出团通知为准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日本--鹿儿岛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市位于日本九州岛的最南端，是鹿儿岛县的县厅所在地。该市以其温暖的气候和活跃的火山活动而闻名，尤其是标志性的樱岛火山。鹿儿岛不仅拥有丰富的自然景观，如美丽的海岸线和温泉，还保留了浓厚的历史和文化底蕴。这里是明治维新领袖西乡隆盛的故乡，市内有许多与他相关的历史遗迹。
                <w:br/>
                具体停靠时间以出团通知为准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午餐：邮轮     晚餐：邮轮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邮轮今日预计于上午7点抵返上海码头，享用早餐后，按顺序办理离船手续，结束愉快的游轮之旅。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1、船票：邮轮5晚住宿、港务费；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请您务必在定购行程前仔细阅读下述条款——
                <w:br/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4、当旅客不适合开始或继续航行，或可能对船上的健康，安全，纪律造成危险的，船长有权利在任何时候，视情况作出任何以下决定：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5、岸上观光套餐因天气、战争、罢工、等不可抗力因素改变行程，或客人自身原因未参加，对此我司将不承担任何赔偿责任。 
                <w:br/>
                6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7、邮轮公司在启航前由于包船等原因取消行程，我司将全额退还团款，但不承担任何赔偿责任。
                <w:br/>
                8、根据邮轮公司规定，乘坐星旅远洋邮轮出行的客人，需严格遵守邮轮公司承运条款，请您仔细阅读，凡预订本产品则默认已知晓并接受此承运条款。如因违反条款规定所带来的后果，需由您自行承担。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9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2025-04-28T17:13:08+08:00</dcterms:created>
  <dcterms:modified xsi:type="dcterms:W3CDTF">2025-04-28T17:13:08+08:00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